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pt-BR" w:eastAsia="pt-BR"/>
        </w:rPr>
        <w:t xml:space="preserve">Cadastrar </w:t>
      </w:r>
      <w:r>
        <w:rPr>
          <w:sz w:val="34"/>
          <w:szCs w:val="34"/>
          <w:lang w:val="en-US" w:eastAsia="pt-BR"/>
        </w:rPr>
        <w:t>Obra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lang w:val="pt-BR"/>
        </w:rPr>
        <w:t>Esta funcionalidade é utilizada pelos servidores da Superintendência de Infraestrutura, tendo como finalidade realizar o cadastro das obras da Instituição para o acompanhamento via sistema.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Obras → Obras → Obras → Cadastrar Obra.</w:t>
      </w: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lang w:val="pt-BR"/>
        </w:rPr>
        <w:t xml:space="preserve">Ao acessar a funcionalidade o sistema exibirá a tela onde o usuário deverá informar os </w:t>
      </w:r>
      <w:r>
        <w:rPr>
          <w:i/>
          <w:iCs/>
          <w:lang w:val="pt-BR"/>
        </w:rPr>
        <w:t>Dados do Contrato.</w:t>
      </w:r>
    </w:p>
    <w:p>
      <w:pPr>
        <w:pStyle w:val="5"/>
        <w:spacing w:before="4"/>
        <w:ind w:right="283" w:firstLine="284"/>
        <w:jc w:val="both"/>
        <w:rPr>
          <w:lang w:val="pt-BR"/>
        </w:rPr>
      </w:pP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  <w:r>
        <w:drawing>
          <wp:inline distT="0" distB="0" distL="114300" distR="114300">
            <wp:extent cx="3828415" cy="1333500"/>
            <wp:effectExtent l="0" t="0" r="63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841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lang w:val="pt-BR"/>
        </w:rPr>
        <w:t xml:space="preserve">Cancelar </w:t>
      </w:r>
      <w:r>
        <w:rPr>
          <w:lang w:val="pt-BR"/>
        </w:rPr>
        <w:t xml:space="preserve">e confirme na janela que será apresentada pelo sistema. Esta operação é válida para todas as telas que apresentem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retornar à página inicial do módulo, clique no link </w:t>
      </w:r>
      <w:r>
        <w:rPr>
          <w:b/>
          <w:bCs/>
          <w:i w:val="0"/>
          <w:iCs w:val="0"/>
          <w:lang w:val="pt-BR"/>
        </w:rPr>
        <w:t>Sup. Infra Estrutura</w:t>
      </w:r>
      <w:r>
        <w:rPr>
          <w:lang w:val="pt-BR"/>
        </w:rPr>
        <w:t xml:space="preserve">. Esta opção é válida sempre que a função estiver disponível.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acima, informe o </w:t>
      </w:r>
      <w:r>
        <w:rPr>
          <w:i/>
          <w:iCs/>
          <w:lang w:val="pt-BR"/>
        </w:rPr>
        <w:t>Número/Ano</w:t>
      </w:r>
      <w:r>
        <w:rPr>
          <w:lang w:val="pt-BR"/>
        </w:rPr>
        <w:t xml:space="preserve"> e a </w:t>
      </w:r>
      <w:r>
        <w:rPr>
          <w:i/>
          <w:iCs/>
          <w:lang w:val="pt-BR"/>
        </w:rPr>
        <w:t xml:space="preserve">Origem </w:t>
      </w:r>
      <w:r>
        <w:rPr>
          <w:lang w:val="pt-BR"/>
        </w:rPr>
        <w:t xml:space="preserve">do contrato de obras associado à obra que será cadastrada, caso o mesmo tenha sido previamente registrado no sistema.  Para exemplificar, cadastraremos uma nova obra.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prosseguir, clique em </w:t>
      </w:r>
      <w:r>
        <w:rPr>
          <w:b/>
          <w:bCs/>
          <w:lang w:val="pt-BR"/>
        </w:rPr>
        <w:t>Buscar</w:t>
      </w:r>
      <w:r>
        <w:rPr>
          <w:lang w:val="pt-BR"/>
        </w:rPr>
        <w:t xml:space="preserve">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O sistema o direcionará para a página de Cadastro de Obra, conforme exibido a seguir:</w:t>
      </w:r>
    </w:p>
    <w:p>
      <w:pPr>
        <w:pStyle w:val="5"/>
        <w:spacing w:before="4"/>
        <w:ind w:right="283" w:firstLine="720" w:firstLineChars="0"/>
        <w:jc w:val="center"/>
      </w:pPr>
      <w:r>
        <w:drawing>
          <wp:inline distT="0" distB="0" distL="114300" distR="114300">
            <wp:extent cx="6407785" cy="2853055"/>
            <wp:effectExtent l="0" t="0" r="12065" b="444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8"/>
                    <a:srcRect b="12838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left"/>
        <w:rPr>
          <w:lang w:val="pt-BR"/>
        </w:rPr>
      </w:pPr>
    </w:p>
    <w:p>
      <w:pPr>
        <w:pStyle w:val="5"/>
        <w:spacing w:before="4"/>
        <w:ind w:right="283" w:firstLine="720" w:firstLineChars="0"/>
        <w:jc w:val="left"/>
        <w:rPr>
          <w:lang w:val="pt-BR"/>
        </w:rPr>
      </w:pPr>
      <w:r>
        <w:rPr>
          <w:lang w:val="pt-BR"/>
        </w:rPr>
        <w:t>Continuação da tela ...</w:t>
      </w:r>
    </w:p>
    <w:p>
      <w:pPr>
        <w:pStyle w:val="5"/>
        <w:spacing w:before="4"/>
        <w:ind w:right="283" w:firstLine="720" w:firstLineChars="0"/>
        <w:jc w:val="left"/>
        <w:rPr>
          <w:lang w:val="pt-BR"/>
        </w:rPr>
      </w:pPr>
    </w:p>
    <w:p>
      <w:pPr>
        <w:pStyle w:val="5"/>
        <w:spacing w:before="4"/>
        <w:ind w:right="283" w:firstLine="720" w:firstLineChars="0"/>
        <w:jc w:val="left"/>
        <w:rPr>
          <w:lang w:val="pt-BR" w:eastAsia="pt-BR"/>
        </w:rPr>
      </w:pPr>
      <w:r>
        <w:drawing>
          <wp:inline distT="0" distB="0" distL="114300" distR="114300">
            <wp:extent cx="6381115" cy="3625215"/>
            <wp:effectExtent l="0" t="0" r="635" b="1333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1115" cy="362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 w:eastAsia="pt-BR"/>
        </w:rPr>
        <w:br w:type="page"/>
      </w:r>
    </w:p>
    <w:p>
      <w:pPr>
        <w:pStyle w:val="5"/>
        <w:spacing w:before="4"/>
        <w:ind w:right="283" w:firstLine="720" w:firstLineChars="0"/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left"/>
        <w:rPr>
          <w:lang w:val="en-US" w:eastAsia="pt-BR"/>
        </w:rPr>
      </w:pPr>
      <w:r>
        <w:rPr>
          <w:lang w:val="en-US" w:eastAsia="pt-BR"/>
        </w:rPr>
        <w:t>Continuação da tela ...</w:t>
      </w:r>
    </w:p>
    <w:p>
      <w:pPr>
        <w:pStyle w:val="5"/>
        <w:spacing w:before="4"/>
        <w:ind w:right="283" w:firstLine="720" w:firstLineChars="0"/>
        <w:jc w:val="left"/>
        <w:rPr>
          <w:lang w:val="en-US" w:eastAsia="pt-BR"/>
        </w:rPr>
      </w:pPr>
    </w:p>
    <w:p>
      <w:pPr>
        <w:pStyle w:val="5"/>
        <w:spacing w:before="4"/>
        <w:ind w:right="283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6793230" cy="3037205"/>
            <wp:effectExtent l="0" t="0" r="7620" b="1079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93230" cy="303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62750" cy="3204845"/>
            <wp:effectExtent l="0" t="0" r="0" b="1460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320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Se desejar retornar à página anterior, clique em </w:t>
      </w:r>
      <w:r>
        <w:rPr>
          <w:b/>
          <w:bCs/>
          <w:lang w:val="pt-BR"/>
        </w:rPr>
        <w:t>Voltar</w:t>
      </w:r>
      <w:r>
        <w:rPr>
          <w:lang w:val="pt-BR"/>
        </w:rPr>
        <w:t xml:space="preserve">. Esta ação será válida em todas as telas em que estiver presente. 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Vale ressaltar que, com o número e ano do contrato informado na tela anterior, os dados da obra serão automaticamente preenchidos nesta página de acordo com os dados presentes no contrato. 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b/>
          <w:bCs/>
          <w:lang w:val="pt-BR" w:eastAsia="zh-CN"/>
        </w:rPr>
      </w:pPr>
      <w:r>
        <w:rPr>
          <w:b/>
          <w:bCs/>
          <w:lang w:val="en-US" w:eastAsia="zh-CN"/>
        </w:rPr>
        <w:t>Dados Gerais da Obra</w:t>
      </w:r>
      <w:r>
        <w:rPr>
          <w:b/>
          <w:bCs/>
          <w:lang w:val="pt-BR" w:eastAsia="zh-CN"/>
        </w:rPr>
        <w:t>: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Requisição Número/Ano: número e o ano da requisição a qual a obra será associada;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Área (m²):  área da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Descrição da Obra: serviços que serão realizados na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Empresa: empresa a partir da listagem fornecida ao inserir as letras iniciais de sua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denominação, ou os números de seu CNPJ;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Unidades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en-US" w:eastAsia="zh-CN"/>
        </w:rPr>
      </w:pPr>
      <w:r>
        <w:rPr>
          <w:b w:val="0"/>
          <w:bCs w:val="0"/>
          <w:i/>
          <w:iCs/>
          <w:lang w:val="en-US" w:eastAsia="zh-CN"/>
        </w:rPr>
        <w:t>Unidade: Selecione a unidade interessada em sua realização através da lista que o sistema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en-US" w:eastAsia="zh-CN"/>
        </w:rPr>
      </w:pPr>
      <w:r>
        <w:rPr>
          <w:b w:val="0"/>
          <w:bCs w:val="0"/>
          <w:i/>
          <w:iCs/>
          <w:lang w:val="en-US" w:eastAsia="zh-CN"/>
        </w:rPr>
        <w:t>exibe ao inserir o código ou denominação da mesma;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en-US" w:eastAsia="zh-CN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Prazos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Dias da Vigência do Contrato: quantidade de dias de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Início da Vigência do Contrato: data de vigência inicial;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Término da Vigência do Contrato: data de vigência final;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b/>
          <w:bCs/>
          <w:lang w:val="en-US" w:eastAsia="zh-CN"/>
        </w:rPr>
        <w:t>Contrato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Número: Inúmero do contrato;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Ano: ano do contrato;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Data: data do contrato</w:t>
      </w:r>
      <w:r>
        <w:rPr>
          <w:i/>
          <w:iCs/>
          <w:lang w:val="pt-BR" w:eastAsia="zh-CN"/>
        </w:rPr>
        <w:t>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Origem: origem do contrato;</w:t>
      </w:r>
    </w:p>
    <w:p>
      <w:pPr>
        <w:pStyle w:val="5"/>
        <w:spacing w:before="62" w:line="288" w:lineRule="exact"/>
        <w:ind w:right="283"/>
        <w:jc w:val="both"/>
        <w:rPr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b/>
          <w:bCs/>
          <w:lang w:val="en-US" w:eastAsia="zh-CN"/>
        </w:rPr>
        <w:t>Licitação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Modalidade: modalidade da licitação da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Número: número da licitação da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Ano: ano da licitação;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i/>
          <w:iCs/>
          <w:lang w:val="en-US" w:eastAsia="zh-CN"/>
        </w:rPr>
        <w:t>Origem: origem da licitação;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/>
          <w:bCs/>
          <w:lang w:val="en-US" w:eastAsia="zh-CN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b/>
          <w:bCs/>
          <w:lang w:val="en-US" w:eastAsia="zh-CN"/>
        </w:rPr>
        <w:t>Valores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Contratado: valor contratado para a obra;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Fiscais da Obra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en-US" w:eastAsia="zh-CN"/>
        </w:rPr>
      </w:pPr>
      <w:r>
        <w:rPr>
          <w:b w:val="0"/>
          <w:bCs w:val="0"/>
          <w:i/>
          <w:iCs/>
          <w:lang w:val="en-US" w:eastAsia="zh-CN"/>
        </w:rPr>
        <w:t>Fiscal: responsável pela obra inserindo o nome do fiscal e selecionando-o a partir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da lista fornecida pelo sistema;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Período de Vigência: período de vigência da fiscalização.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É importante ressaltar que apesar de os demais campos não serem de preenchimento obrigatório, eles podem ser preenchidos conforme o usuário desejar.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Nos campos onde deverão ser informadas as datas referentes ao contrato e à obra, é possível digitar as datas desejadas ou selecioná-las no calendário virtual exibido ao clicar no ícone </w:t>
      </w:r>
      <w:r>
        <w:drawing>
          <wp:inline distT="0" distB="0" distL="114300" distR="114300">
            <wp:extent cx="228600" cy="209550"/>
            <wp:effectExtent l="0" t="0" r="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. Nos campo </w:t>
      </w:r>
      <w:r>
        <w:rPr>
          <w:i/>
          <w:iCs/>
          <w:lang w:val="pt-BR"/>
        </w:rPr>
        <w:t xml:space="preserve">Unidade </w:t>
      </w:r>
      <w:r>
        <w:rPr>
          <w:i w:val="0"/>
          <w:iCs w:val="0"/>
          <w:lang w:val="pt-BR"/>
        </w:rPr>
        <w:t xml:space="preserve">e </w:t>
      </w:r>
      <w:r>
        <w:rPr>
          <w:i/>
          <w:iCs/>
          <w:lang w:val="pt-BR"/>
        </w:rPr>
        <w:t>Fiscal</w:t>
      </w:r>
      <w:r>
        <w:rPr>
          <w:lang w:val="pt-BR"/>
        </w:rPr>
        <w:t xml:space="preserve">, caso não saiba os dados necessários, clique no ícone </w:t>
      </w:r>
      <w:r>
        <w:drawing>
          <wp:inline distT="0" distB="0" distL="114300" distR="114300">
            <wp:extent cx="228600" cy="219075"/>
            <wp:effectExtent l="0" t="0" r="0" b="9525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para realizar uma busca.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Com relação aos aditivos, no caso do contrato existir, os dados só poderão ser editados quando a origem do contrato for a FADE. Se for informado um contrato com projetos de pesquisa a ele associados, no caso de contrato de origem FADE, ou uma fonte de recurso, no caso de contrato de origem UFPE, nenhum dos dois poderão ser removidos.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adicionar uma unidade, um empenho e/ou um aditivo/reequilíbrio à obra, clique no ícone </w:t>
      </w:r>
      <w:r>
        <w:drawing>
          <wp:inline distT="0" distB="0" distL="114300" distR="114300">
            <wp:extent cx="171450" cy="219075"/>
            <wp:effectExtent l="0" t="0" r="0" b="952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, após informar os dados necessários. O sistema recarregará a tela, reconfigurando-a conforme mostrado anteriormente, com os dados inseridos já cadastrados. No caso dos </w:t>
      </w:r>
      <w:r>
        <w:rPr>
          <w:i/>
          <w:iCs/>
          <w:lang w:val="pt-BR"/>
        </w:rPr>
        <w:t>Fiscais da Obra</w:t>
      </w:r>
      <w:r>
        <w:rPr>
          <w:lang w:val="pt-BR"/>
        </w:rPr>
        <w:t xml:space="preserve">, selecione o Fiscal a ser adicionado e clique em </w:t>
      </w:r>
      <w:r>
        <w:rPr>
          <w:b/>
          <w:bCs/>
          <w:lang w:val="pt-BR"/>
        </w:rPr>
        <w:t>Inserir</w:t>
      </w:r>
      <w:r>
        <w:rPr>
          <w:lang w:val="pt-BR"/>
        </w:rPr>
        <w:t xml:space="preserve">.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Se desejar remover alguma informação cadastrada anteriormente, como uma </w:t>
      </w:r>
      <w:r>
        <w:rPr>
          <w:i/>
          <w:iCs/>
          <w:lang w:val="pt-BR"/>
        </w:rPr>
        <w:t>Unidade</w:t>
      </w:r>
      <w:r>
        <w:rPr>
          <w:lang w:val="pt-BR"/>
        </w:rPr>
        <w:t xml:space="preserve">, </w:t>
      </w:r>
      <w:r>
        <w:rPr>
          <w:i/>
          <w:iCs/>
          <w:lang w:val="pt-BR"/>
        </w:rPr>
        <w:t xml:space="preserve">Fiscal </w:t>
      </w:r>
      <w:r>
        <w:rPr>
          <w:lang w:val="pt-BR"/>
        </w:rPr>
        <w:t xml:space="preserve">ou </w:t>
      </w:r>
      <w:r>
        <w:rPr>
          <w:i/>
          <w:iCs/>
          <w:lang w:val="pt-BR"/>
        </w:rPr>
        <w:t>Empenho</w:t>
      </w:r>
      <w:r>
        <w:rPr>
          <w:lang w:val="pt-BR"/>
        </w:rPr>
        <w:t xml:space="preserve">, clique no ícone </w:t>
      </w:r>
      <w:r>
        <w:drawing>
          <wp:inline distT="0" distB="0" distL="114300" distR="114300">
            <wp:extent cx="190500" cy="190500"/>
            <wp:effectExtent l="0" t="0" r="0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e confirme a ação na caixa de diálogo exibida pelo sistema para cada item distinto.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Após o preenchimento de todos os campos necessários para o cadastro da obra, conforme exemplificado na imagem anterior, prossiga com a operação clicando em </w:t>
      </w:r>
      <w:r>
        <w:rPr>
          <w:b/>
          <w:bCs/>
          <w:lang w:val="pt-BR"/>
        </w:rPr>
        <w:t>Continuar</w:t>
      </w:r>
      <w:r>
        <w:rPr>
          <w:lang w:val="pt-BR"/>
        </w:rPr>
        <w:t xml:space="preserve">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Uma nova tela será exibida, com o </w:t>
      </w:r>
      <w:r>
        <w:rPr>
          <w:i/>
          <w:iCs/>
          <w:lang w:val="pt-BR"/>
        </w:rPr>
        <w:t>Resumo da Obra</w:t>
      </w:r>
      <w:r>
        <w:rPr>
          <w:lang w:val="pt-BR"/>
        </w:rPr>
        <w:t xml:space="preserve"> que será cadastrada:</w:t>
      </w:r>
    </w:p>
    <w:p>
      <w:pPr>
        <w:pStyle w:val="5"/>
        <w:spacing w:before="62" w:line="240" w:lineRule="auto"/>
        <w:ind w:right="283" w:firstLine="720" w:firstLineChars="0"/>
        <w:jc w:val="center"/>
      </w:pPr>
      <w:r>
        <w:drawing>
          <wp:inline distT="0" distB="0" distL="114300" distR="114300">
            <wp:extent cx="5297805" cy="2769235"/>
            <wp:effectExtent l="0" t="0" r="17145" b="12065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62" w:line="240" w:lineRule="auto"/>
        <w:ind w:right="283" w:firstLine="720" w:firstLineChars="0"/>
        <w:jc w:val="center"/>
        <w:rPr>
          <w:lang w:val="pt-BR"/>
        </w:rPr>
      </w:pPr>
      <w:r>
        <w:drawing>
          <wp:inline distT="0" distB="0" distL="114300" distR="114300">
            <wp:extent cx="5252085" cy="3569335"/>
            <wp:effectExtent l="0" t="0" r="5715" b="12065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356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Confira os dados da obra e, caso esteja certo do cadastro, clique em </w:t>
      </w:r>
      <w:r>
        <w:rPr>
          <w:b/>
          <w:bCs/>
          <w:lang w:val="pt-BR"/>
        </w:rPr>
        <w:t>Cadastrar</w:t>
      </w:r>
      <w:r>
        <w:rPr>
          <w:lang w:val="pt-BR"/>
        </w:rPr>
        <w:t xml:space="preserve">. Uma mensagem de sucesso da operação será apresentada pelo sistema no topo da seguinte página: </w:t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drawing>
          <wp:inline distT="0" distB="0" distL="114300" distR="114300">
            <wp:extent cx="6515735" cy="3593465"/>
            <wp:effectExtent l="0" t="0" r="18415" b="6985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15735" cy="359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62" w:line="240" w:lineRule="auto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registrar uma nova obra no sistema da Instituição, clique em </w:t>
      </w:r>
      <w:r>
        <w:rPr>
          <w:b/>
          <w:bCs/>
          <w:lang w:val="pt-BR"/>
        </w:rPr>
        <w:t>Cadastrar Outra Obra</w:t>
      </w:r>
      <w:r>
        <w:rPr>
          <w:lang w:val="pt-BR"/>
        </w:rPr>
        <w:t>.</w:t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 w:firstLine="717" w:firstLineChars="0"/>
        <w:jc w:val="both"/>
        <w:rPr>
          <w:b/>
          <w:color w:val="231F20"/>
          <w:w w:val="105"/>
          <w:lang w:val="pt-BR"/>
        </w:rPr>
      </w:pPr>
      <w:bookmarkStart w:id="1" w:name="_GoBack"/>
      <w:bookmarkEnd w:id="1"/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4E749B4"/>
    <w:rsid w:val="09C858B0"/>
    <w:rsid w:val="17C362BC"/>
    <w:rsid w:val="2CA420BC"/>
    <w:rsid w:val="40CD7AE2"/>
    <w:rsid w:val="4AFC7507"/>
    <w:rsid w:val="57D753AF"/>
    <w:rsid w:val="5CB134FB"/>
    <w:rsid w:val="656076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2017-11-22T20:24:27Z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